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bookmarkStart w:id="0" w:name="ИСПО"/>
    <w:bookmarkStart w:id="1" w:name="ИСПО1"/>
    <w:bookmarkEnd w:id="1"/>
    <w:bookmarkEnd w:id="0"/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44"/>
          <w:szCs w:val="44"/>
          <w:lang w:eastAsia="ru-RU"/>
        </w:rPr>
        <w:t xml:space="preserve">ИСПОЛЬЗОВАНИЕ 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cs="Times New Roman" w:eastAsia="Times New Roman" w:hAnsi="Times New Roman"/>
          <w:sz w:val="44"/>
          <w:szCs w:val="44"/>
          <w:lang w:eastAsia="ru-RU"/>
        </w:rPr>
        <w:t>МЕТОДА НАГЛЯДНОГО МОДЕЛИРОВАНИЯ ПРИ СОСТАВЛЕНИИ ОПИСАТЕЛЬНЫХ РАССКАЗОВ</w:t>
      </w:r>
      <w:r>
        <w:rPr>
          <w:rFonts w:ascii="Times New Roman" w:cs="Times New Roman" w:eastAsia="Times New Roman" w:hAnsi="Times New Roman"/>
          <w:sz w:val="44"/>
          <w:szCs w:val="44"/>
          <w:lang w:eastAsia="ru-RU"/>
        </w:rPr>
        <w:t xml:space="preserve"> В ГРУППЕ ДЛЯ ДЕТЕЙ 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cs="Times New Roman" w:eastAsia="Times New Roman" w:hAnsi="Times New Roman"/>
          <w:sz w:val="44"/>
          <w:szCs w:val="44"/>
          <w:lang w:eastAsia="ru-RU"/>
        </w:rPr>
        <w:t>С ОБЩИМ НЕДОРАЗВИТИЕМ РЕЧИ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44"/>
          <w:szCs w:val="44"/>
          <w:lang w:eastAsia="ru-RU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cs="Times New Roman" w:eastAsia="Times New Roman" w:hAnsi="Times New Roman"/>
          <w:sz w:val="44"/>
          <w:szCs w:val="44"/>
          <w:lang w:eastAsia="ru-RU"/>
        </w:rPr>
        <w:t xml:space="preserve">                                   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Разукевич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Галина Иосифовна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                                    учитель-дефектолог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ГУО «Ясли-сад № 9 г. Гродно»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8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029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)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3320184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;</w:t>
      </w: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 xml:space="preserve"> </w:t>
      </w:r>
      <w:bookmarkStart w:id="2" w:name="_GoBack"/>
      <w:bookmarkEnd w:id="2"/>
      <w:r>
        <w:rPr>
          <w:rFonts w:ascii="Times New Roman" w:cs="Times New Roman" w:eastAsia="Times New Roman" w:hAnsi="Times New Roman"/>
          <w:sz w:val="30"/>
          <w:szCs w:val="30"/>
          <w:lang w:val="en-US" w:eastAsia="ru-RU"/>
        </w:rPr>
        <w:t>svjatskaja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9@</w:t>
      </w:r>
      <w:r>
        <w:rPr>
          <w:rFonts w:ascii="Times New Roman" w:cs="Times New Roman" w:eastAsia="Times New Roman" w:hAnsi="Times New Roman"/>
          <w:sz w:val="30"/>
          <w:szCs w:val="30"/>
          <w:lang w:val="en-US" w:eastAsia="ru-RU"/>
        </w:rPr>
        <w:t>gmail</w:t>
      </w:r>
      <w:r>
        <w:rPr>
          <w:rFonts w:ascii="Times New Roman" w:cs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cs="Times New Roman" w:eastAsia="Times New Roman" w:hAnsi="Times New Roman"/>
          <w:sz w:val="30"/>
          <w:szCs w:val="30"/>
          <w:lang w:val="en-US" w:eastAsia="ru-RU"/>
        </w:rPr>
        <w:t>com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 детей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общим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недоразвитием речи отмечаются трудности планирования развернутых высказываний и </w:t>
      </w: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их языкового оформления. Для их высказываний (пересказ, различные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виды рассказов) характерны: нарушения связности и последовательности изложения, смысловые пропуски, лексические затруд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нения, большое число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аграмматизмов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 построении предложений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Между отдельными фразами у детей с ОНР присутствуют длительные, необоснованные паузы.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Почти недоступным для детей </w:t>
      </w:r>
      <w:r>
        <w:rPr>
          <w:rFonts w:ascii="Times New Roman" w:cs="Times New Roman" w:hAnsi="Times New Roman"/>
          <w:sz w:val="28"/>
          <w:szCs w:val="28"/>
        </w:rPr>
        <w:t xml:space="preserve">с общим недоразвитием речи </w:t>
      </w:r>
      <w:r>
        <w:rPr>
          <w:rFonts w:ascii="Times New Roman" w:cs="Times New Roman" w:hAnsi="Times New Roman"/>
          <w:sz w:val="28"/>
          <w:szCs w:val="28"/>
        </w:rPr>
        <w:t xml:space="preserve">оказывается самостоятельное </w:t>
      </w:r>
      <w:r>
        <w:rPr>
          <w:rFonts w:ascii="Times New Roman" w:cs="Times New Roman" w:hAnsi="Times New Roman"/>
          <w:sz w:val="28"/>
          <w:szCs w:val="28"/>
        </w:rPr>
        <w:t>сост</w:t>
      </w:r>
      <w:r>
        <w:rPr>
          <w:rFonts w:ascii="Times New Roman" w:cs="Times New Roman" w:hAnsi="Times New Roman"/>
          <w:sz w:val="28"/>
          <w:szCs w:val="28"/>
        </w:rPr>
        <w:t>авление описательных рассказов.</w:t>
      </w:r>
      <w:r>
        <w:rPr>
          <w:rFonts w:ascii="Times New Roman" w:cs="Times New Roman" w:hAnsi="Times New Roman"/>
          <w:sz w:val="28"/>
          <w:szCs w:val="28"/>
        </w:rPr>
        <w:t xml:space="preserve"> Дети затрудняются определить основные признаки предмета, установить последовательность изложения выявленных признаков и удержать в памяти эту последовательность, которая является планом рассказа.</w:t>
      </w:r>
    </w:p>
    <w:p>
      <w:pPr>
        <w:pStyle w:val="style0"/>
        <w:shd w:val="clear" w:color="auto" w:fill="ffffff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Рассказ-описание выглядит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примерно так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дети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лучшем случае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перечисляют некоторые при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знаки предмета в произвольной последовательности, нарушают стр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ойность повествования, в расска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зах наблюдаются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смысловые повторы, нет местоимений.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Много проблем с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граммат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ическим оформлением предложений, отсутствуют смысловые свя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зи между предложениями.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Чаще всего для составления рассказа ребенку требую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тся наводящие вопросы педагога.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Поэтому </w:t>
      </w:r>
      <w:r>
        <w:rPr>
          <w:rFonts w:ascii="Times New Roman" w:cs="Times New Roman" w:hAnsi="Times New Roman"/>
          <w:sz w:val="28"/>
          <w:szCs w:val="28"/>
        </w:rPr>
        <w:t>учителю</w:t>
      </w:r>
      <w:r>
        <w:rPr>
          <w:rFonts w:ascii="Times New Roman" w:cs="Times New Roman" w:hAnsi="Times New Roman"/>
          <w:sz w:val="28"/>
          <w:szCs w:val="28"/>
        </w:rPr>
        <w:t>-дефектолог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в</w:t>
      </w:r>
      <w:r>
        <w:rPr>
          <w:rFonts w:ascii="Times New Roman" w:cs="Times New Roman" w:hAnsi="Times New Roman"/>
          <w:sz w:val="28"/>
          <w:szCs w:val="28"/>
        </w:rPr>
        <w:t xml:space="preserve"> своей работе </w:t>
      </w:r>
      <w:r>
        <w:rPr>
          <w:rFonts w:ascii="Times New Roman" w:cs="Times New Roman" w:hAnsi="Times New Roman"/>
          <w:sz w:val="28"/>
          <w:szCs w:val="28"/>
        </w:rPr>
        <w:t>необходимо уделя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ь</w:t>
      </w:r>
      <w:r>
        <w:rPr>
          <w:rFonts w:ascii="Times New Roman" w:cs="Times New Roman" w:hAnsi="Times New Roman"/>
          <w:sz w:val="28"/>
          <w:szCs w:val="28"/>
        </w:rPr>
        <w:t xml:space="preserve"> много внимания обучению детей составлению описательных рассказов.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Эта работа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представляет собой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сложный и длительный процесс.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бусловлено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рядом причин: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недоразвитием основны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х компонентов языковой системы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фонетико-фонематического, грамматического, лексического;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крайне низким уровнем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износительной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оны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речи, а также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трудностями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выстраивании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логической последовательности собственных высказываний;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психологическими особенностями дет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ей и наличием у них отклонений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развитии ведущих психических процессов (восприятия, внимания,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воображения)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а также их низкой речевой активностью и быстрой утомляемостью.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Чтобы составить описательный ра</w:t>
      </w:r>
      <w:r>
        <w:rPr>
          <w:rFonts w:ascii="Times New Roman" w:cs="Times New Roman" w:hAnsi="Times New Roman"/>
          <w:sz w:val="28"/>
          <w:szCs w:val="28"/>
        </w:rPr>
        <w:t>ссказ, у ребенка необходимо раз</w:t>
      </w:r>
      <w:r>
        <w:rPr>
          <w:rFonts w:ascii="Times New Roman" w:cs="Times New Roman" w:hAnsi="Times New Roman"/>
          <w:sz w:val="28"/>
          <w:szCs w:val="28"/>
        </w:rPr>
        <w:t>вит</w:t>
      </w:r>
      <w:r>
        <w:rPr>
          <w:rFonts w:ascii="Times New Roman" w:cs="Times New Roman" w:hAnsi="Times New Roman"/>
          <w:sz w:val="28"/>
          <w:szCs w:val="28"/>
        </w:rPr>
        <w:t>ь</w:t>
      </w:r>
      <w:r>
        <w:rPr>
          <w:rFonts w:ascii="Times New Roman" w:cs="Times New Roman" w:hAnsi="Times New Roman"/>
          <w:sz w:val="28"/>
          <w:szCs w:val="28"/>
        </w:rPr>
        <w:t xml:space="preserve"> определенные умения: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умения вычленять и наз</w:t>
      </w:r>
      <w:r>
        <w:rPr>
          <w:rFonts w:ascii="Times New Roman" w:cs="Times New Roman" w:hAnsi="Times New Roman"/>
          <w:sz w:val="28"/>
          <w:szCs w:val="28"/>
        </w:rPr>
        <w:t>ывать признаки объекта описания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умения перечислять эти признаки в </w:t>
      </w:r>
      <w:r>
        <w:rPr>
          <w:rFonts w:ascii="Times New Roman" w:cs="Times New Roman" w:hAnsi="Times New Roman"/>
          <w:sz w:val="28"/>
          <w:szCs w:val="28"/>
        </w:rPr>
        <w:t>определенной последовательности;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умения связывать слова и фразы в целостный текст.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Для этого </w:t>
      </w:r>
      <w:r>
        <w:rPr>
          <w:rFonts w:ascii="Times New Roman" w:cs="Times New Roman" w:hAnsi="Times New Roman"/>
          <w:sz w:val="28"/>
          <w:szCs w:val="28"/>
        </w:rPr>
        <w:t>очень хорошо</w:t>
      </w:r>
      <w:r>
        <w:rPr>
          <w:rFonts w:ascii="Times New Roman" w:cs="Times New Roman" w:hAnsi="Times New Roman"/>
          <w:sz w:val="28"/>
          <w:szCs w:val="28"/>
        </w:rPr>
        <w:t xml:space="preserve"> использовать</w:t>
      </w:r>
      <w:r>
        <w:rPr>
          <w:rFonts w:ascii="Times New Roman" w:cs="Times New Roman" w:hAnsi="Times New Roman"/>
          <w:sz w:val="28"/>
          <w:szCs w:val="28"/>
        </w:rPr>
        <w:t xml:space="preserve"> метод наглядного моделирования.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Включение наглядных моделей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процессе обучения позволяет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обогащать активный словарный запас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закреплять навыки словообразования, формировать и совершенство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вать умения употреблять в речи разные виды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предложений, описывать и сравнивать предметы, что в итоге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развивает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монологическую речь.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Наглядная модель высказывания выступает в роли плана, обеспечивающего связность и последовательность рассказа ребенка.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качестве условных заместителей (элементов модели) могут выступать символы разнообразного характера: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геометрические фигуры или полоски;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симво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лические изображения предметов 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силуэты, контуры, пиктограммы;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любые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условные обозначения, используемые в планах-схемах.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подготовительном этапе работы</w:t>
      </w:r>
      <w:r>
        <w:rPr>
          <w:rFonts w:ascii="Times New Roman" w:cs="Times New Roman" w:hAnsi="Times New Roman"/>
          <w:sz w:val="28"/>
          <w:szCs w:val="28"/>
        </w:rPr>
        <w:t xml:space="preserve"> всегда уточняю</w:t>
      </w:r>
      <w:r>
        <w:rPr>
          <w:rFonts w:ascii="Times New Roman" w:cs="Times New Roman" w:hAnsi="Times New Roman"/>
          <w:sz w:val="28"/>
          <w:szCs w:val="28"/>
        </w:rPr>
        <w:t xml:space="preserve"> понятие </w:t>
      </w:r>
      <w:r>
        <w:rPr>
          <w:rFonts w:ascii="Times New Roman" w:cs="Times New Roman" w:hAnsi="Times New Roman"/>
          <w:sz w:val="28"/>
          <w:szCs w:val="28"/>
        </w:rPr>
        <w:t xml:space="preserve">формы, величины, цвета и других отличительных признаков, </w:t>
      </w:r>
      <w:r>
        <w:rPr>
          <w:rFonts w:ascii="Times New Roman" w:cs="Times New Roman" w:hAnsi="Times New Roman"/>
          <w:sz w:val="28"/>
          <w:szCs w:val="28"/>
        </w:rPr>
        <w:t xml:space="preserve">что необходимо для целостного </w:t>
      </w:r>
      <w:r>
        <w:rPr>
          <w:rFonts w:ascii="Times New Roman" w:cs="Times New Roman" w:hAnsi="Times New Roman"/>
          <w:sz w:val="28"/>
          <w:szCs w:val="28"/>
        </w:rPr>
        <w:t xml:space="preserve">сенсорного восприятия предмета и формирования умения </w:t>
      </w:r>
      <w:r>
        <w:rPr>
          <w:rFonts w:ascii="Times New Roman" w:cs="Times New Roman" w:hAnsi="Times New Roman"/>
          <w:sz w:val="28"/>
          <w:szCs w:val="28"/>
        </w:rPr>
        <w:t xml:space="preserve">находить эти признаки при рассматривании предмета. </w:t>
      </w:r>
      <w:r>
        <w:rPr>
          <w:rFonts w:ascii="Times New Roman" w:cs="Times New Roman" w:hAnsi="Times New Roman"/>
          <w:sz w:val="28"/>
          <w:szCs w:val="28"/>
        </w:rPr>
        <w:t>В работу на этом этапе включаю</w:t>
      </w:r>
      <w:r>
        <w:rPr>
          <w:rFonts w:ascii="Times New Roman" w:cs="Times New Roman" w:hAnsi="Times New Roman"/>
          <w:sz w:val="28"/>
          <w:szCs w:val="28"/>
        </w:rPr>
        <w:t>тся</w:t>
      </w:r>
      <w:r>
        <w:rPr>
          <w:rFonts w:ascii="Times New Roman" w:cs="Times New Roman" w:hAnsi="Times New Roman"/>
          <w:sz w:val="28"/>
          <w:szCs w:val="28"/>
        </w:rPr>
        <w:t xml:space="preserve"> задания на узнавание предмета по его основным признакам, составляю</w:t>
      </w:r>
      <w:r>
        <w:rPr>
          <w:rFonts w:ascii="Times New Roman" w:cs="Times New Roman" w:hAnsi="Times New Roman"/>
          <w:sz w:val="28"/>
          <w:szCs w:val="28"/>
        </w:rPr>
        <w:t>тся</w:t>
      </w:r>
      <w:r>
        <w:rPr>
          <w:rFonts w:ascii="Times New Roman" w:cs="Times New Roman" w:hAnsi="Times New Roman"/>
          <w:sz w:val="28"/>
          <w:szCs w:val="28"/>
        </w:rPr>
        <w:t xml:space="preserve"> для детей загадки-описания этих предметов, использую</w:t>
      </w:r>
      <w:r>
        <w:rPr>
          <w:rFonts w:ascii="Times New Roman" w:cs="Times New Roman" w:hAnsi="Times New Roman"/>
          <w:sz w:val="28"/>
          <w:szCs w:val="28"/>
        </w:rPr>
        <w:t>тся</w:t>
      </w:r>
      <w:r>
        <w:rPr>
          <w:rFonts w:ascii="Times New Roman" w:cs="Times New Roman" w:hAnsi="Times New Roman"/>
          <w:sz w:val="28"/>
          <w:szCs w:val="28"/>
        </w:rPr>
        <w:t xml:space="preserve"> стихотворные описания предметов. </w:t>
      </w:r>
      <w:r>
        <w:rPr>
          <w:rFonts w:ascii="Times New Roman" w:cs="Times New Roman" w:hAnsi="Times New Roman"/>
          <w:sz w:val="28"/>
          <w:szCs w:val="28"/>
        </w:rPr>
        <w:t xml:space="preserve">При этом </w:t>
      </w:r>
      <w:r>
        <w:rPr>
          <w:rFonts w:ascii="Times New Roman" w:cs="Times New Roman" w:hAnsi="Times New Roman"/>
          <w:sz w:val="28"/>
          <w:szCs w:val="28"/>
        </w:rPr>
        <w:t>у детей постоянно есть наглядная опора: это могут быть картинки, игрушки, муляжи предметов, настоящие предметы (овощи, фрукты</w:t>
      </w:r>
      <w:r>
        <w:rPr>
          <w:rFonts w:ascii="Times New Roman" w:cs="Times New Roman" w:hAnsi="Times New Roman"/>
          <w:sz w:val="28"/>
          <w:szCs w:val="28"/>
        </w:rPr>
        <w:t>, кукольная мебель и т.д.).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Затем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детям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даются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cs="Times New Roman" w:hAnsi="Times New Roman"/>
          <w:sz w:val="28"/>
          <w:szCs w:val="28"/>
        </w:rPr>
        <w:t xml:space="preserve">на сравнение </w:t>
      </w:r>
      <w:r>
        <w:rPr>
          <w:rFonts w:ascii="Times New Roman" w:cs="Times New Roman" w:hAnsi="Times New Roman"/>
          <w:sz w:val="28"/>
          <w:szCs w:val="28"/>
        </w:rPr>
        <w:t xml:space="preserve">предметов.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Вначал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 дети упражняются в сравнении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однотипных предметов, отличающихся каким-либо одним признаком (например, большой красный мяч и маленький красный мяч), затем сравнивают предметы, относящиеся к одной тематическо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й группе (например, - «Овощи»,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авниваем помидор и капусту). Дальше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переходим к сравнению предметов различных групп, но имеющих один-два общих призна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ка (например, сравниваем мяч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помидор). Такие упражнения способствуют развитию зрительного и слухового восприятия, внимания к понятийно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й стороне речи и подготавливают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детей к самостоятельному описанию предметов.</w:t>
      </w:r>
    </w:p>
    <w:p>
      <w:pPr>
        <w:pStyle w:val="style0"/>
        <w:shd w:val="clear" w:color="auto" w:fill="ffffff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Далее включаю</w:t>
      </w:r>
      <w:r>
        <w:rPr>
          <w:rFonts w:ascii="Times New Roman" w:cs="Times New Roman" w:hAnsi="Times New Roman"/>
          <w:sz w:val="28"/>
          <w:szCs w:val="28"/>
        </w:rPr>
        <w:t>тся</w:t>
      </w:r>
      <w:r>
        <w:rPr>
          <w:rFonts w:ascii="Times New Roman" w:cs="Times New Roman" w:hAnsi="Times New Roman"/>
          <w:sz w:val="28"/>
          <w:szCs w:val="28"/>
        </w:rPr>
        <w:t xml:space="preserve"> словарные упражнения, сопровождающие рассматривание и предназначенные для обогащения словаря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подбор признаков и действий к предметам, синонимов и антонимов, родственных слов…), а также грамматические упражнения, способствующие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овладению способами словообразования, формообразования, усвоению подчинительных связей между существительными, прилагательными и глаголами (образование уменьшительно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-ласкательных существительных,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относительных и притяжательных прилагательных, согласование прилагательных и существительных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 этом постоянно держится на контроле звуковая сторона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речи, обращая внимание детей на правильное 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роизношение поставленных звуков,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также нацеливая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детей на использование фразовой речи при ответах на вопросы.</w:t>
      </w:r>
    </w:p>
    <w:p>
      <w:pPr>
        <w:pStyle w:val="style0"/>
        <w:shd w:val="clear" w:color="auto" w:fill="ffffff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 затруднениях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составлении ответов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используется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прием дополнен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ия предложения,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которое начинается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педагогом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с последующим повторением ребенком всей фразы.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Параллельно с этой работой детей</w:t>
      </w:r>
      <w:r>
        <w:rPr>
          <w:rFonts w:ascii="Times New Roman" w:cs="Times New Roman" w:hAnsi="Times New Roman"/>
          <w:sz w:val="28"/>
          <w:szCs w:val="28"/>
        </w:rPr>
        <w:t xml:space="preserve"> обучают</w:t>
      </w:r>
      <w:r>
        <w:rPr>
          <w:rFonts w:ascii="Times New Roman" w:cs="Times New Roman" w:hAnsi="Times New Roman"/>
          <w:sz w:val="28"/>
          <w:szCs w:val="28"/>
        </w:rPr>
        <w:t xml:space="preserve"> действиям замещения – выделяемый признак объекта обозначаем каким-либо символом.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Такие конкретные представления, накапливаемые в процессе исследования объекта описания, и составляют основу бу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дущего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описательного рассказа.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Элементами модели описательного рассказа становятся символы-заместители качественных характеристик объекта: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принадлежность к родовидовому понятию;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величина;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цвет;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форма;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составляющие детали;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качество поверхности;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материал, из которого изготовлен объект (для неживых предметов);</w:t>
      </w:r>
    </w:p>
    <w:p>
      <w:pPr>
        <w:pStyle w:val="style0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как он испол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ьзуется (какую пользу приносит).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Для составления описательных рассказов об овощах и фруктах используются схемы, отражающие сенсорные каналы получения информации об объекте.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примера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можно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рассмотреть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грушу.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Что нам помогает увидеть грушу – ее цвет, форму, величину? – глаза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(на доске карточка с изображением глаза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Груша – желтого цвета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(карточка с желтым цветом),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по форме она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треугольная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(карточка с треугольником),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большая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(карточка с большим овалом).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Итак, мы увидели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, что груша желтая, треугольная, большая.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Повторяем несколько раз это предложение.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Затем дети нюхают грушу.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Что нам помогает определить запах груши? – нос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(на доске карточка с изображением носа).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Что можно сказать про запах груши?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– Она ароматная.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(Карточка с изображением цветка – для обозначения аромата) 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Трогаем грушу рукой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(на доске карточка с изображением руки)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Какая она?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- гладкая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(изображение ровной полоски),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твердая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(картинка камень).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А сейчас попробуем грушу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– (картинка с изображением рта)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Какая груша на вкус? – сладкая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(изображение конфеты)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К какой группе предметов можно отнеси грушу?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карточка «знак вопроса»).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Груша – это фрукт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(карточка с изображением дерева)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Каждое составленное словосочетание и предложение повторяем хором и индивидуально, что помогает закрепить в речи детей образцы согласования слов.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Далее результат сенсорного обследования предмета необходимо оформить в связный описательный рассказ. Для этого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обязательно дается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детям образец такого рассказа.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Например, так можно рассказать о груше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группе для детей 2-го уровня речевого развития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«Это груша. Она желтая, треугольная, большая. Груша ароматная.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ощупь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гладкая и твердая.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На вкус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– сладкая. Груша – это фрукт».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группе для детей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3-го уровня речевого развития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можно составить рассказ, состоящий из сложнопо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дчиненных предложений, например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«Это груша.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Если мы на нее посмотрим, то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увидим, что она желтая, треугольная, большая. Если мы ее понюхаем, то узнаем, что она ароматная. Когда мы ее потрогаем, то почувствуем, что она гладкая и твердая. А если мы откусим кусочек гр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уши, то узнаем, что она сладкая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. Груша – это фрукт».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дальнейшем 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ля составления описательных рассказов об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овощах, фруктах,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игрушках, одежде,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посуде, животных, временах года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использую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готовые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модели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предложенные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белорусскими и российскими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дефектологами Т.В. Пятницей, Т.А. Ткаченко,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С.В.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Бойковой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Они отображают не конкретные признаки конкретного предмета, а дают обобщенные символы цвета, формы, величины, материала и т.д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этом этапе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коррекционно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-логопедическая работа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обычно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строится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такой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последователь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ности: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нимательное рассма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тривание таблицы (плана-схемы)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разбор картинок, симво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лов,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которые на ней изображены;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ереосмысление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изображенной инфор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мации, т. е. её преобразование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из абстрактны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х символов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конкретные образы;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обуждение 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ебенка к составлению рассказа по предложенной таблице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(плану – схеме)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то есть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дети, ориентируясь на эти символы, самостоятельно выбирают признаки описываемого предмета и перечисляют их в своем рассказе. </w:t>
      </w:r>
    </w:p>
    <w:p>
      <w:pPr>
        <w:pStyle w:val="style0"/>
        <w:shd w:val="clear" w:color="auto" w:fill="ffffff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Как отдельный вид работы с детьми можно использовать коллективное составление описания одного предмета несколькими детьми («по цепочке»), каждый из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которых может давать характерис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тику предмета по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одному-двум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признакам.</w:t>
      </w: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Использование опорных рисунков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увлекает детей, превращает учебное занятие в игру, нагляд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ный материал усваивается лучше.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Дети эффективнее воспринимают и перерабатывают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зрительную информацию, воспр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оизводят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её в соответствии с поставленными учебными задачами. При этом развиваются коммуникативная и планирующая функция речи, т. е. ребенок учится последовательно и логически выстраивать свои действия, рассказывая об этом.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Список литературы.</w:t>
      </w:r>
    </w:p>
    <w:p>
      <w:pPr>
        <w:pStyle w:val="style179"/>
        <w:numPr>
          <w:ilvl w:val="0"/>
          <w:numId w:val="3"/>
        </w:numPr>
        <w:spacing w:after="0" w:lineRule="auto" w:line="360"/>
        <w:ind w:hanging="1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Арушанова А.Г. Речь и речевое общение детей. – М., 2002.</w:t>
      </w:r>
    </w:p>
    <w:p>
      <w:pPr>
        <w:pStyle w:val="style179"/>
        <w:numPr>
          <w:ilvl w:val="0"/>
          <w:numId w:val="3"/>
        </w:numPr>
        <w:spacing w:after="0" w:lineRule="auto" w:line="360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Бородич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А.М. Методика развития речи детей: Учеб. пособие. – М.: Просвещение, 1981</w:t>
      </w:r>
    </w:p>
    <w:p>
      <w:pPr>
        <w:pStyle w:val="style179"/>
        <w:numPr>
          <w:ilvl w:val="0"/>
          <w:numId w:val="3"/>
        </w:numPr>
        <w:spacing w:after="0" w:lineRule="auto" w:line="360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Мурашковская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И.Н.,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Валюмс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Н.П. Картин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без запинки / методика рассказа по картине/. СП.: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-во ТОО «ТРИЗ-ШАНС», 1995</w:t>
      </w:r>
    </w:p>
    <w:p>
      <w:pPr>
        <w:pStyle w:val="style179"/>
        <w:numPr>
          <w:ilvl w:val="0"/>
          <w:numId w:val="3"/>
        </w:numPr>
        <w:spacing w:after="0" w:lineRule="auto" w:line="360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Сидорчук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Т.А., Кузнецова А.Б. Обучение дошкольников творческому рассказыванию по картине /Пособие для педагогов детских дошкольных учреждений/. – Ульяновск: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ГТУ, 1997. – 74 с.</w:t>
      </w:r>
    </w:p>
    <w:sectPr>
      <w:headerReference w:type="default" r:id="rId2"/>
      <w:footerReference w:type="default" r:id="rId3"/>
      <w:pgSz w:w="11906" w:h="16838" w:orient="portrait"/>
      <w:pgMar w:top="1134" w:right="849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4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60B460B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1DCA3D7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multilevel"/>
    <w:tmpl w:val="3018587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50C643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6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0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link w:val="style12319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12319">
    <w:name w:val="Header Char"/>
    <w:basedOn w:val="style65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Words>8592</Words>
  <Characters>8672</Characters>
  <Application>WPS Office</Application>
  <DocSecurity>0</DocSecurity>
  <Paragraphs>93</Paragraphs>
  <ScaleCrop>false</ScaleCrop>
  <LinksUpToDate>false</LinksUpToDate>
  <CharactersWithSpaces>10042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2016-02-07T14:02:00Z</dcterms:created>
  <dc:creator>User</dc:creator>
  <lastModifiedBy>Lenovo S90-A</lastModifiedBy>
  <dcterms:modified xsi:type="dcterms:W3CDTF">2020-12-17T21:23:11Z</dcterms:modified>
  <revision>16</revision>
</coreProperties>
</file>